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D83" w:rsidRDefault="00964B8F">
      <w:pPr>
        <w:spacing w:after="0" w:line="360" w:lineRule="auto"/>
        <w:jc w:val="both"/>
      </w:pPr>
      <w:r>
        <w:t>1. Estudos Técnicos Preliminares (ETP);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>R: Em anexo e disponível para consulta no link abaixo</w:t>
      </w:r>
    </w:p>
    <w:p w:rsidR="00722603" w:rsidRDefault="00722603" w:rsidP="00722603">
      <w:pPr>
        <w:spacing w:after="0" w:line="360" w:lineRule="auto"/>
        <w:jc w:val="both"/>
        <w:rPr>
          <w:color w:val="FF0000"/>
        </w:rPr>
      </w:pPr>
      <w:hyperlink r:id="rId8">
        <w:r>
          <w:rPr>
            <w:color w:val="1155CC"/>
            <w:u w:val="single"/>
          </w:rPr>
          <w:t>https://www.ufcspa.edu.br/acesso-a-informacao/licitacoes-e-contratos/acesso-aos-processos-finalizados/processos-de-2021</w:t>
        </w:r>
      </w:hyperlink>
    </w:p>
    <w:p w:rsidR="00907D83" w:rsidRDefault="00907D83">
      <w:pPr>
        <w:spacing w:after="0" w:line="360" w:lineRule="auto"/>
        <w:jc w:val="both"/>
        <w:rPr>
          <w:color w:val="FF0000"/>
        </w:rPr>
      </w:pPr>
    </w:p>
    <w:p w:rsidR="00907D83" w:rsidRDefault="00964B8F">
      <w:pPr>
        <w:spacing w:after="0" w:line="360" w:lineRule="auto"/>
        <w:jc w:val="both"/>
      </w:pPr>
      <w:r>
        <w:t>2. Justificativa que fundamentou a não publicação do ETP, conforme Instrução Normativa 1/2019/SGD/ME, art. 34, inciso I;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>R: A Universidade disponibiliza seus processos de contratação na íntegra conforme pode ser observado no seguinte Link: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 xml:space="preserve"> </w:t>
      </w:r>
      <w:hyperlink r:id="rId9">
        <w:r>
          <w:rPr>
            <w:color w:val="1155CC"/>
            <w:u w:val="single"/>
          </w:rPr>
          <w:t>https://www.ufcspa.edu.br/acesso-a-informacao/licitacoes-e-contratos/acesso-aos-processos-finalizados/processos-de-2021</w:t>
        </w:r>
      </w:hyperlink>
    </w:p>
    <w:p w:rsidR="00907D83" w:rsidRDefault="00907D83">
      <w:pPr>
        <w:spacing w:after="0" w:line="360" w:lineRule="auto"/>
        <w:jc w:val="both"/>
        <w:rPr>
          <w:color w:val="FF0000"/>
        </w:rPr>
      </w:pP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 xml:space="preserve">Neste sentido, considerando que o ETP para as contratações de Solução de TI possui campos bem distintos em relação ao ETP digital do sistema de Compras Governamentais, entendeu-se que não haveria compatibilidade para divulgar no portal. Diante da questão suscitada, informamos que a Universidade pretende criar um espaço específico em seu sítio eletrônico Institucional </w:t>
      </w:r>
      <w:proofErr w:type="gramStart"/>
      <w:r>
        <w:rPr>
          <w:color w:val="FF0000"/>
        </w:rPr>
        <w:t>para  o</w:t>
      </w:r>
      <w:proofErr w:type="gramEnd"/>
      <w:r>
        <w:rPr>
          <w:color w:val="FF0000"/>
        </w:rPr>
        <w:t xml:space="preserve"> pleno atendimento da referida normativa. </w:t>
      </w:r>
    </w:p>
    <w:p w:rsidR="00907D83" w:rsidRDefault="00907D83">
      <w:pPr>
        <w:spacing w:after="0" w:line="360" w:lineRule="auto"/>
        <w:jc w:val="both"/>
        <w:rPr>
          <w:color w:val="FF0000"/>
        </w:rPr>
      </w:pPr>
    </w:p>
    <w:p w:rsidR="00907D83" w:rsidRDefault="00964B8F">
      <w:pPr>
        <w:spacing w:after="0" w:line="360" w:lineRule="auto"/>
        <w:jc w:val="both"/>
      </w:pPr>
      <w:r>
        <w:t>3. Documentos relacionados à pesquisa de preços que fundamentaram o valor estimado da contratação, incluindo os e-mails, em formato original, que foram enviados e recebidos dos fornecedores, e o mapa final de preços;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 xml:space="preserve">R: </w:t>
      </w:r>
      <w:proofErr w:type="spellStart"/>
      <w:r>
        <w:rPr>
          <w:color w:val="FF0000"/>
        </w:rPr>
        <w:t>Emails</w:t>
      </w:r>
      <w:proofErr w:type="spellEnd"/>
      <w:r>
        <w:rPr>
          <w:color w:val="FF0000"/>
        </w:rPr>
        <w:t xml:space="preserve"> </w:t>
      </w:r>
      <w:proofErr w:type="gramStart"/>
      <w:r>
        <w:rPr>
          <w:color w:val="FF0000"/>
        </w:rPr>
        <w:t>trocados  e</w:t>
      </w:r>
      <w:proofErr w:type="gramEnd"/>
      <w:r>
        <w:rPr>
          <w:color w:val="FF0000"/>
        </w:rPr>
        <w:t xml:space="preserve"> mapa de preços anexados. Mapa disponível para consulta no link da íntegra do processo.</w:t>
      </w:r>
    </w:p>
    <w:p w:rsidR="00907D83" w:rsidRDefault="00907D83">
      <w:pPr>
        <w:spacing w:after="0" w:line="360" w:lineRule="auto"/>
        <w:jc w:val="both"/>
        <w:rPr>
          <w:color w:val="FF0000"/>
        </w:rPr>
      </w:pPr>
    </w:p>
    <w:p w:rsidR="00907D83" w:rsidRDefault="00964B8F">
      <w:pPr>
        <w:spacing w:after="0" w:line="360" w:lineRule="auto"/>
        <w:jc w:val="both"/>
      </w:pPr>
      <w:r>
        <w:t>4. Indicar porque está sendo exigido que os fornecedores apresentem, em seus quadros, funcionário certificado para o fornecimento da solução, antes da contratação em confronto ao</w:t>
      </w:r>
    </w:p>
    <w:p w:rsidR="00907D83" w:rsidRDefault="00964B8F">
      <w:pPr>
        <w:spacing w:after="0" w:line="360" w:lineRule="auto"/>
        <w:jc w:val="both"/>
      </w:pPr>
      <w:r>
        <w:t>Inciso VII do art. 5 da IN 1/2019-SGD;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 xml:space="preserve">R:O subitem 12.3.2 facultou aos licitantes a apresentação de declaração de contratação futura. Dessa maneira, entendemos que os licitantes não estão obrigados a apresentar em seu </w:t>
      </w:r>
      <w:proofErr w:type="gramStart"/>
      <w:r>
        <w:rPr>
          <w:color w:val="FF0000"/>
        </w:rPr>
        <w:t>quadro  funcionário</w:t>
      </w:r>
      <w:proofErr w:type="gramEnd"/>
      <w:r>
        <w:rPr>
          <w:color w:val="FF0000"/>
        </w:rPr>
        <w:t xml:space="preserve"> certificado antes contratação uma vez que tal condição poderia ser suprida com mera declaração de contratação futura.</w:t>
      </w:r>
    </w:p>
    <w:p w:rsidR="00907D83" w:rsidRDefault="00964B8F">
      <w:pPr>
        <w:spacing w:after="0" w:line="360" w:lineRule="auto"/>
        <w:jc w:val="both"/>
        <w:rPr>
          <w:i/>
          <w:color w:val="FF0000"/>
        </w:rPr>
      </w:pPr>
      <w:r>
        <w:rPr>
          <w:i/>
          <w:color w:val="FF0000"/>
        </w:rPr>
        <w:t xml:space="preserve">“12.3.2 A empresa deverá possuir, no mínimo, 1 (um) técnico com certificação técnica oficial do fabricante, compatível com o(s) objeto(s) deste processo. A comprovação de vínculo profissional </w:t>
      </w:r>
      <w:r>
        <w:rPr>
          <w:i/>
          <w:color w:val="FF0000"/>
        </w:rPr>
        <w:lastRenderedPageBreak/>
        <w:t xml:space="preserve">se fará com a apresentação de cópia da carteira de trabalho (CTPS) em que conste o licitante como contratante; do contrato social do licitante em que conste o profissional como sócio; do contrato de prestação de serviços, sem vínculo trabalhista, regido pela legislação civil </w:t>
      </w:r>
      <w:r>
        <w:rPr>
          <w:b/>
          <w:i/>
          <w:color w:val="FF0000"/>
          <w:u w:val="single"/>
        </w:rPr>
        <w:t>ou, ainda, de declaração de contratação futura do profissional</w:t>
      </w:r>
      <w:r>
        <w:rPr>
          <w:b/>
          <w:i/>
          <w:color w:val="FF0000"/>
        </w:rPr>
        <w:t xml:space="preserve">, </w:t>
      </w:r>
      <w:r>
        <w:rPr>
          <w:i/>
          <w:color w:val="FF0000"/>
        </w:rPr>
        <w:t>desde que acompanhada de declaração de anuência do profissional.”</w:t>
      </w:r>
    </w:p>
    <w:p w:rsidR="00907D83" w:rsidRDefault="00907D83">
      <w:pPr>
        <w:spacing w:after="0" w:line="360" w:lineRule="auto"/>
        <w:jc w:val="both"/>
        <w:rPr>
          <w:i/>
          <w:color w:val="FF0000"/>
        </w:rPr>
      </w:pPr>
    </w:p>
    <w:p w:rsidR="00907D83" w:rsidRDefault="00964B8F">
      <w:pPr>
        <w:spacing w:after="0" w:line="360" w:lineRule="auto"/>
        <w:jc w:val="both"/>
      </w:pPr>
      <w:r>
        <w:t>5. Contrato 21/2018;</w:t>
      </w:r>
    </w:p>
    <w:p w:rsidR="00907D83" w:rsidRDefault="00964B8F">
      <w:pPr>
        <w:spacing w:after="0" w:line="360" w:lineRule="auto"/>
        <w:jc w:val="both"/>
      </w:pPr>
      <w:r>
        <w:t>6. Justificativa do item 128 do PAC ter sido estimado em R$ 500.000,00 e a licitação decorrente do plano ser de R$ 8.169.869,44, diferença de 1.534%;</w:t>
      </w:r>
    </w:p>
    <w:p w:rsidR="00907D83" w:rsidRDefault="00964B8F">
      <w:pPr>
        <w:jc w:val="both"/>
        <w:rPr>
          <w:color w:val="FF0000"/>
        </w:rPr>
      </w:pPr>
      <w:bookmarkStart w:id="0" w:name="_heading=h.gjdgxs" w:colFirst="0" w:colLast="0"/>
      <w:bookmarkEnd w:id="0"/>
      <w:r>
        <w:rPr>
          <w:color w:val="FF0000"/>
        </w:rPr>
        <w:t xml:space="preserve">R: Primeiramente, cumpre destacar que do valor total estimado, R$  1.533.498,96 se referem ao quantitativo solicitado pelo IFBA durante a Intenção de registro de preços, já no que diz respeito ao quantitativo da UFCSPA, se destaca que houve um aumento bastante significativo para utilização da solução </w:t>
      </w:r>
      <w:proofErr w:type="spellStart"/>
      <w:r>
        <w:rPr>
          <w:color w:val="FF0000"/>
        </w:rPr>
        <w:t>hiperconvergente</w:t>
      </w:r>
      <w:proofErr w:type="spellEnd"/>
      <w:r>
        <w:rPr>
          <w:color w:val="FF0000"/>
        </w:rPr>
        <w:t xml:space="preserve"> devido ao trabalho remoto, quando tornou-se extremamente necessária a criação de diversas máquinas virtuais para acesso remoto por VPN, para possibilitar o acesso </w:t>
      </w:r>
      <w:proofErr w:type="spellStart"/>
      <w:r>
        <w:rPr>
          <w:color w:val="FF0000"/>
        </w:rPr>
        <w:t>a</w:t>
      </w:r>
      <w:proofErr w:type="spellEnd"/>
      <w:r>
        <w:rPr>
          <w:color w:val="FF0000"/>
        </w:rPr>
        <w:t xml:space="preserve"> sistema legado que funciona apenas dentro do domínio da rede da universidade. Além disso, conforme mostra a figura 1, a ocupação de espaço em disco do ambiente </w:t>
      </w:r>
      <w:proofErr w:type="spellStart"/>
      <w:r>
        <w:rPr>
          <w:color w:val="FF0000"/>
        </w:rPr>
        <w:t>hiperconvergente</w:t>
      </w:r>
      <w:proofErr w:type="spellEnd"/>
      <w:r>
        <w:rPr>
          <w:color w:val="FF0000"/>
        </w:rPr>
        <w:t xml:space="preserve"> aumentou consideravelmente e se situa em 65% do total para manter a resiliência do cluster. No entanto, por se tratar de um registro de preço, o quantitativo seria adquirido de acordo com a disponibilidade de recursos da universidade, se assim fosse necessário.  </w:t>
      </w:r>
    </w:p>
    <w:p w:rsidR="00907D83" w:rsidRDefault="00964B8F">
      <w:pPr>
        <w:jc w:val="both"/>
        <w:rPr>
          <w:color w:val="FF0000"/>
        </w:rPr>
      </w:pPr>
      <w:bookmarkStart w:id="1" w:name="_heading=h.i8wob9pm1czu" w:colFirst="0" w:colLast="0"/>
      <w:bookmarkEnd w:id="1"/>
      <w:r>
        <w:rPr>
          <w:color w:val="FF0000"/>
        </w:rPr>
        <w:tab/>
      </w:r>
      <w:r>
        <w:rPr>
          <w:noProof/>
          <w:color w:val="FF0000"/>
        </w:rPr>
        <w:drawing>
          <wp:inline distT="114300" distB="114300" distL="114300" distR="114300">
            <wp:extent cx="4000500" cy="187642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876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07D83" w:rsidRDefault="00964B8F">
      <w:pPr>
        <w:ind w:firstLine="720"/>
        <w:jc w:val="both"/>
        <w:rPr>
          <w:color w:val="FF0000"/>
          <w:sz w:val="18"/>
          <w:szCs w:val="18"/>
        </w:rPr>
      </w:pPr>
      <w:bookmarkStart w:id="2" w:name="_heading=h.9laookihdbk" w:colFirst="0" w:colLast="0"/>
      <w:bookmarkEnd w:id="2"/>
      <w:r>
        <w:rPr>
          <w:color w:val="FF0000"/>
          <w:sz w:val="18"/>
          <w:szCs w:val="18"/>
        </w:rPr>
        <w:t xml:space="preserve">Figura 1: Resumo do armazenamento do cluster </w:t>
      </w:r>
      <w:proofErr w:type="spellStart"/>
      <w:r>
        <w:rPr>
          <w:color w:val="FF0000"/>
          <w:sz w:val="18"/>
          <w:szCs w:val="18"/>
        </w:rPr>
        <w:t>Nutanix</w:t>
      </w:r>
      <w:proofErr w:type="spellEnd"/>
    </w:p>
    <w:p w:rsidR="00722603" w:rsidRPr="00722603" w:rsidRDefault="00722603" w:rsidP="00722603">
      <w:pPr>
        <w:jc w:val="both"/>
        <w:rPr>
          <w:color w:val="FF0000"/>
        </w:rPr>
      </w:pPr>
      <w:bookmarkStart w:id="3" w:name="_heading=h.yeynymr5mvwq" w:colFirst="0" w:colLast="0"/>
      <w:bookmarkEnd w:id="3"/>
      <w:r w:rsidRPr="00722603">
        <w:rPr>
          <w:color w:val="FF0000"/>
        </w:rPr>
        <w:t>Além do trabalho remoto, já citado, o ensino a distância emergencial gerou um aumento significativo nas necessidades de processamento e espaço em disco para manter as atividades acadêmicas de forma remota. Esta situação que não era esperada, somou-se ao crescimento exponencial no uso do ambiente virtual de aprendizagem, ocorrido nos últimos anos.</w:t>
      </w:r>
    </w:p>
    <w:p w:rsidR="00722603" w:rsidRPr="00722603" w:rsidRDefault="00722603" w:rsidP="00722603">
      <w:pPr>
        <w:jc w:val="both"/>
        <w:rPr>
          <w:color w:val="FF0000"/>
        </w:rPr>
      </w:pPr>
      <w:r w:rsidRPr="00722603">
        <w:rPr>
          <w:color w:val="FF0000"/>
        </w:rPr>
        <w:t xml:space="preserve">A UFCSPA tem como estratégia manter toda a estrutura na solução </w:t>
      </w:r>
      <w:proofErr w:type="spellStart"/>
      <w:r w:rsidRPr="00722603">
        <w:rPr>
          <w:color w:val="FF0000"/>
        </w:rPr>
        <w:t>hiperconvergente</w:t>
      </w:r>
      <w:proofErr w:type="spellEnd"/>
      <w:r w:rsidRPr="00722603">
        <w:rPr>
          <w:color w:val="FF0000"/>
        </w:rPr>
        <w:t>, buscando melhor escalabilidade de recursos, redução de custos, segurança de dados (licenciamento de backup contido no processo) e automatização da infraestrutura.</w:t>
      </w:r>
    </w:p>
    <w:p w:rsidR="00907D83" w:rsidRDefault="00722603" w:rsidP="00722603">
      <w:pPr>
        <w:jc w:val="both"/>
        <w:rPr>
          <w:color w:val="FF0000"/>
        </w:rPr>
      </w:pPr>
      <w:r w:rsidRPr="00722603">
        <w:rPr>
          <w:color w:val="FF0000"/>
        </w:rPr>
        <w:lastRenderedPageBreak/>
        <w:t>No cenário atual (implantado através do contrato 21/2018), o empenho de esforços em outra solução teria um custo muito maior, além do retrocesso em relação aos processos e níveis de maturidade hoje alcançados</w:t>
      </w:r>
      <w:bookmarkStart w:id="4" w:name="_GoBack"/>
      <w:bookmarkEnd w:id="4"/>
    </w:p>
    <w:p w:rsidR="00907D83" w:rsidRDefault="00964B8F">
      <w:pPr>
        <w:spacing w:after="0" w:line="360" w:lineRule="auto"/>
        <w:jc w:val="both"/>
      </w:pPr>
      <w:r>
        <w:t xml:space="preserve">7. Indicar quais softwares da fabricante </w:t>
      </w:r>
      <w:proofErr w:type="spellStart"/>
      <w:r>
        <w:t>Nutanix</w:t>
      </w:r>
      <w:proofErr w:type="spellEnd"/>
      <w:r>
        <w:t xml:space="preserve"> (nome completo e versão) que foram instalados nos equipamentos do Contrato 21/2018;</w:t>
      </w:r>
    </w:p>
    <w:p w:rsidR="00907D83" w:rsidRDefault="00964B8F">
      <w:pPr>
        <w:numPr>
          <w:ilvl w:val="0"/>
          <w:numId w:val="2"/>
        </w:numPr>
        <w:spacing w:after="0" w:line="360" w:lineRule="auto"/>
        <w:jc w:val="both"/>
        <w:rPr>
          <w:color w:val="FF0000"/>
          <w:sz w:val="20"/>
          <w:szCs w:val="20"/>
        </w:rPr>
      </w:pPr>
      <w:proofErr w:type="spellStart"/>
      <w:r>
        <w:rPr>
          <w:color w:val="FF0000"/>
          <w:sz w:val="20"/>
          <w:szCs w:val="20"/>
        </w:rPr>
        <w:t>Acropolis</w:t>
      </w:r>
      <w:proofErr w:type="spellEnd"/>
      <w:r>
        <w:rPr>
          <w:color w:val="FF0000"/>
          <w:sz w:val="20"/>
          <w:szCs w:val="20"/>
        </w:rPr>
        <w:t xml:space="preserve"> </w:t>
      </w:r>
      <w:proofErr w:type="spellStart"/>
      <w:r>
        <w:rPr>
          <w:color w:val="FF0000"/>
          <w:sz w:val="20"/>
          <w:szCs w:val="20"/>
        </w:rPr>
        <w:t>Ultimate</w:t>
      </w:r>
      <w:proofErr w:type="spellEnd"/>
      <w:r>
        <w:rPr>
          <w:color w:val="FF0000"/>
          <w:sz w:val="20"/>
          <w:szCs w:val="20"/>
        </w:rPr>
        <w:t xml:space="preserve"> (L-ULT-6055-G5) </w:t>
      </w:r>
    </w:p>
    <w:p w:rsidR="00907D83" w:rsidRDefault="00964B8F">
      <w:pPr>
        <w:numPr>
          <w:ilvl w:val="0"/>
          <w:numId w:val="2"/>
        </w:numPr>
        <w:spacing w:after="0" w:line="360" w:lineRule="auto"/>
        <w:jc w:val="both"/>
        <w:rPr>
          <w:color w:val="FF0000"/>
          <w:sz w:val="20"/>
          <w:szCs w:val="20"/>
        </w:rPr>
      </w:pPr>
      <w:proofErr w:type="spellStart"/>
      <w:proofErr w:type="gramStart"/>
      <w:r>
        <w:rPr>
          <w:color w:val="FF0000"/>
          <w:sz w:val="20"/>
          <w:szCs w:val="20"/>
        </w:rPr>
        <w:t>Prism</w:t>
      </w:r>
      <w:proofErr w:type="spellEnd"/>
      <w:r>
        <w:rPr>
          <w:color w:val="FF0000"/>
          <w:sz w:val="20"/>
          <w:szCs w:val="20"/>
        </w:rPr>
        <w:t xml:space="preserve"> Pro</w:t>
      </w:r>
      <w:proofErr w:type="gramEnd"/>
      <w:r>
        <w:rPr>
          <w:color w:val="FF0000"/>
          <w:sz w:val="20"/>
          <w:szCs w:val="20"/>
        </w:rPr>
        <w:t xml:space="preserve"> (LIC-PRS-PRO-3YR-1) - </w:t>
      </w:r>
      <w:r>
        <w:rPr>
          <w:b/>
          <w:color w:val="FF0000"/>
          <w:sz w:val="20"/>
          <w:szCs w:val="20"/>
        </w:rPr>
        <w:t>Licença vencida em 09/11/2021 conforme figura 2:</w:t>
      </w:r>
    </w:p>
    <w:p w:rsidR="00907D83" w:rsidRDefault="00964B8F">
      <w:pPr>
        <w:spacing w:after="0" w:line="360" w:lineRule="auto"/>
        <w:ind w:left="1440"/>
        <w:jc w:val="both"/>
        <w:rPr>
          <w:color w:val="FF0000"/>
          <w:sz w:val="20"/>
          <w:szCs w:val="20"/>
        </w:rPr>
      </w:pPr>
      <w:r>
        <w:rPr>
          <w:noProof/>
          <w:color w:val="FF0000"/>
          <w:sz w:val="20"/>
          <w:szCs w:val="20"/>
        </w:rPr>
        <w:drawing>
          <wp:inline distT="114300" distB="114300" distL="114300" distR="114300">
            <wp:extent cx="4191953" cy="2332365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953" cy="23323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07D83" w:rsidRDefault="00964B8F">
      <w:pPr>
        <w:spacing w:after="0" w:line="360" w:lineRule="auto"/>
        <w:ind w:left="1440"/>
        <w:jc w:val="both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t xml:space="preserve">Figura 2: Detalhe das licenças do software de gerenciamento </w:t>
      </w:r>
      <w:proofErr w:type="spellStart"/>
      <w:r>
        <w:rPr>
          <w:color w:val="FF0000"/>
          <w:sz w:val="16"/>
          <w:szCs w:val="16"/>
        </w:rPr>
        <w:t>Nutanix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Prism</w:t>
      </w:r>
      <w:proofErr w:type="spellEnd"/>
      <w:r>
        <w:rPr>
          <w:color w:val="FF0000"/>
          <w:sz w:val="16"/>
          <w:szCs w:val="16"/>
        </w:rPr>
        <w:t xml:space="preserve"> Pro</w:t>
      </w:r>
    </w:p>
    <w:p w:rsidR="00907D83" w:rsidRDefault="00907D83">
      <w:pPr>
        <w:spacing w:after="0" w:line="360" w:lineRule="auto"/>
        <w:ind w:left="1440"/>
        <w:jc w:val="both"/>
        <w:rPr>
          <w:color w:val="FF0000"/>
          <w:sz w:val="16"/>
          <w:szCs w:val="16"/>
        </w:rPr>
      </w:pPr>
    </w:p>
    <w:p w:rsidR="00907D83" w:rsidRDefault="00964B8F">
      <w:pPr>
        <w:spacing w:after="0" w:line="360" w:lineRule="auto"/>
        <w:jc w:val="both"/>
      </w:pPr>
      <w:r>
        <w:t xml:space="preserve">8. Indicar qual é solução de virtualização utilizada nos equipamentos do Contrato 21/2018 e, caso possua, em servidores não </w:t>
      </w:r>
      <w:proofErr w:type="spellStart"/>
      <w:r>
        <w:t>hiperconvergentes</w:t>
      </w:r>
      <w:proofErr w:type="spellEnd"/>
      <w:r>
        <w:t>;</w:t>
      </w:r>
    </w:p>
    <w:p w:rsidR="00907D83" w:rsidRDefault="00964B8F">
      <w:pPr>
        <w:numPr>
          <w:ilvl w:val="0"/>
          <w:numId w:val="3"/>
        </w:numPr>
        <w:spacing w:after="0" w:line="360" w:lineRule="auto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Nos equipamentos </w:t>
      </w:r>
      <w:proofErr w:type="spellStart"/>
      <w:r>
        <w:rPr>
          <w:color w:val="FF0000"/>
          <w:sz w:val="20"/>
          <w:szCs w:val="20"/>
        </w:rPr>
        <w:t>hiperconvergentes</w:t>
      </w:r>
      <w:proofErr w:type="spellEnd"/>
      <w:r>
        <w:rPr>
          <w:color w:val="FF0000"/>
          <w:sz w:val="20"/>
          <w:szCs w:val="20"/>
        </w:rPr>
        <w:t xml:space="preserve"> do Contrato 21/2018, é utilizada como solução de virtualização o </w:t>
      </w:r>
      <w:proofErr w:type="spellStart"/>
      <w:r>
        <w:rPr>
          <w:i/>
          <w:color w:val="FF0000"/>
          <w:sz w:val="20"/>
          <w:szCs w:val="20"/>
        </w:rPr>
        <w:t>hipervisor</w:t>
      </w:r>
      <w:proofErr w:type="spellEnd"/>
      <w:r>
        <w:rPr>
          <w:i/>
          <w:color w:val="FF0000"/>
          <w:sz w:val="20"/>
          <w:szCs w:val="20"/>
        </w:rPr>
        <w:t xml:space="preserve"> </w:t>
      </w:r>
      <w:proofErr w:type="spellStart"/>
      <w:r>
        <w:rPr>
          <w:color w:val="FF0000"/>
          <w:sz w:val="20"/>
          <w:szCs w:val="20"/>
        </w:rPr>
        <w:t>Acropolis</w:t>
      </w:r>
      <w:proofErr w:type="spellEnd"/>
      <w:r>
        <w:rPr>
          <w:color w:val="FF0000"/>
          <w:sz w:val="20"/>
          <w:szCs w:val="20"/>
        </w:rPr>
        <w:t xml:space="preserve"> </w:t>
      </w:r>
      <w:proofErr w:type="spellStart"/>
      <w:r>
        <w:rPr>
          <w:color w:val="FF0000"/>
          <w:sz w:val="20"/>
          <w:szCs w:val="20"/>
        </w:rPr>
        <w:t>Ultimate</w:t>
      </w:r>
      <w:proofErr w:type="spellEnd"/>
      <w:r>
        <w:rPr>
          <w:color w:val="FF0000"/>
          <w:sz w:val="20"/>
          <w:szCs w:val="20"/>
        </w:rPr>
        <w:t xml:space="preserve"> (L-ULT-6055-G5).</w:t>
      </w:r>
    </w:p>
    <w:p w:rsidR="00907D83" w:rsidRDefault="00964B8F">
      <w:pPr>
        <w:numPr>
          <w:ilvl w:val="0"/>
          <w:numId w:val="3"/>
        </w:numPr>
        <w:spacing w:after="0" w:line="360" w:lineRule="auto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Nos demais equipamentos legados (sem garantia e suporte) da universidade, é utilizado </w:t>
      </w:r>
      <w:proofErr w:type="spellStart"/>
      <w:r>
        <w:rPr>
          <w:color w:val="FF0000"/>
          <w:sz w:val="20"/>
          <w:szCs w:val="20"/>
        </w:rPr>
        <w:t>Xen</w:t>
      </w:r>
      <w:proofErr w:type="spellEnd"/>
      <w:r>
        <w:rPr>
          <w:color w:val="FF0000"/>
          <w:sz w:val="20"/>
          <w:szCs w:val="20"/>
        </w:rPr>
        <w:t xml:space="preserve"> Server 8.1, o qual possui máquinas virtuais que ainda estão sendo migradas para o ambiente </w:t>
      </w:r>
      <w:proofErr w:type="spellStart"/>
      <w:r>
        <w:rPr>
          <w:color w:val="FF0000"/>
          <w:sz w:val="20"/>
          <w:szCs w:val="20"/>
        </w:rPr>
        <w:t>Nutanix</w:t>
      </w:r>
      <w:proofErr w:type="spellEnd"/>
      <w:r>
        <w:rPr>
          <w:color w:val="FF0000"/>
          <w:sz w:val="20"/>
          <w:szCs w:val="20"/>
        </w:rPr>
        <w:t>.</w:t>
      </w:r>
    </w:p>
    <w:p w:rsidR="00907D83" w:rsidRDefault="00907D83">
      <w:pPr>
        <w:spacing w:after="0" w:line="360" w:lineRule="auto"/>
        <w:jc w:val="both"/>
      </w:pPr>
    </w:p>
    <w:p w:rsidR="00907D83" w:rsidRDefault="00964B8F">
      <w:pPr>
        <w:spacing w:after="0" w:line="360" w:lineRule="auto"/>
        <w:jc w:val="both"/>
      </w:pPr>
      <w:r>
        <w:t xml:space="preserve">9. Indicar quais softwares </w:t>
      </w:r>
      <w:proofErr w:type="spellStart"/>
      <w:r>
        <w:t>Nutanix</w:t>
      </w:r>
      <w:proofErr w:type="spellEnd"/>
      <w:r>
        <w:t xml:space="preserve"> deverão ser fornecidos com o item 1 (indicar item do TR que contém a especificação);</w:t>
      </w:r>
    </w:p>
    <w:p w:rsidR="00907D83" w:rsidRDefault="00964B8F">
      <w:pPr>
        <w:numPr>
          <w:ilvl w:val="0"/>
          <w:numId w:val="1"/>
        </w:numPr>
        <w:spacing w:after="0" w:line="360" w:lineRule="auto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Software </w:t>
      </w:r>
      <w:proofErr w:type="spellStart"/>
      <w:r>
        <w:rPr>
          <w:color w:val="FF0000"/>
          <w:sz w:val="20"/>
          <w:szCs w:val="20"/>
        </w:rPr>
        <w:t>Nutanix</w:t>
      </w:r>
      <w:proofErr w:type="spellEnd"/>
      <w:r>
        <w:rPr>
          <w:color w:val="FF0000"/>
          <w:sz w:val="20"/>
          <w:szCs w:val="20"/>
        </w:rPr>
        <w:t xml:space="preserve"> </w:t>
      </w:r>
      <w:proofErr w:type="spellStart"/>
      <w:r>
        <w:rPr>
          <w:color w:val="FF0000"/>
          <w:sz w:val="20"/>
          <w:szCs w:val="20"/>
        </w:rPr>
        <w:t>Prism</w:t>
      </w:r>
      <w:proofErr w:type="spellEnd"/>
      <w:r>
        <w:rPr>
          <w:color w:val="FF0000"/>
          <w:sz w:val="20"/>
          <w:szCs w:val="20"/>
        </w:rPr>
        <w:t xml:space="preserve"> Pro (item 6 do TR)</w:t>
      </w:r>
    </w:p>
    <w:p w:rsidR="00907D83" w:rsidRDefault="00964B8F">
      <w:pPr>
        <w:numPr>
          <w:ilvl w:val="0"/>
          <w:numId w:val="1"/>
        </w:numPr>
        <w:spacing w:after="0" w:line="360" w:lineRule="auto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Software de Backup Compatível com </w:t>
      </w:r>
      <w:proofErr w:type="spellStart"/>
      <w:r>
        <w:rPr>
          <w:color w:val="FF0000"/>
          <w:sz w:val="20"/>
          <w:szCs w:val="20"/>
        </w:rPr>
        <w:t>Nutanix</w:t>
      </w:r>
      <w:proofErr w:type="spellEnd"/>
      <w:r>
        <w:rPr>
          <w:color w:val="FF0000"/>
          <w:sz w:val="20"/>
          <w:szCs w:val="20"/>
        </w:rPr>
        <w:t xml:space="preserve"> (item 8 do TR)</w:t>
      </w:r>
    </w:p>
    <w:p w:rsidR="00907D83" w:rsidRDefault="00907D83">
      <w:pPr>
        <w:spacing w:after="0" w:line="360" w:lineRule="auto"/>
        <w:jc w:val="both"/>
      </w:pPr>
    </w:p>
    <w:p w:rsidR="00907D83" w:rsidRDefault="00964B8F">
      <w:pPr>
        <w:spacing w:after="0" w:line="360" w:lineRule="auto"/>
        <w:jc w:val="both"/>
      </w:pPr>
      <w:r>
        <w:t xml:space="preserve">10. Parque tecnológico atual do Datacenter onde está instalada a solução do Contrato 21/2018. Para cada servidor físico: </w:t>
      </w:r>
    </w:p>
    <w:p w:rsidR="00907D83" w:rsidRDefault="00964B8F">
      <w:pPr>
        <w:spacing w:after="0" w:line="360" w:lineRule="auto"/>
        <w:jc w:val="both"/>
      </w:pPr>
      <w:r>
        <w:t xml:space="preserve">a. Nome Fabricante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lastRenderedPageBreak/>
        <w:tab/>
      </w:r>
      <w:r>
        <w:rPr>
          <w:color w:val="FF0000"/>
        </w:rPr>
        <w:t xml:space="preserve">Referente ao contrato 21/2018, todos os equipamentos são de marca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>.</w:t>
      </w:r>
      <w:r>
        <w:rPr>
          <w:color w:val="FF0000"/>
        </w:rPr>
        <w:tab/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>Já o ambiente legado possui 6 servidores Dell funcionais, os quais estão operando em estado “</w:t>
      </w:r>
      <w:proofErr w:type="spellStart"/>
      <w:r>
        <w:rPr>
          <w:color w:val="FF0000"/>
        </w:rPr>
        <w:t>End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of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Support</w:t>
      </w:r>
      <w:proofErr w:type="spellEnd"/>
      <w:r>
        <w:rPr>
          <w:color w:val="FF0000"/>
        </w:rPr>
        <w:t xml:space="preserve"> / </w:t>
      </w:r>
      <w:proofErr w:type="spellStart"/>
      <w:r>
        <w:rPr>
          <w:color w:val="FF0000"/>
        </w:rPr>
        <w:t>End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of</w:t>
      </w:r>
      <w:proofErr w:type="spellEnd"/>
      <w:r>
        <w:rPr>
          <w:color w:val="FF0000"/>
        </w:rPr>
        <w:t xml:space="preserve"> Life”, ou seja, sem possibilidade de renovar suporte ou garantia para reposição de peças.</w:t>
      </w:r>
    </w:p>
    <w:p w:rsidR="00907D83" w:rsidRDefault="00964B8F">
      <w:pPr>
        <w:spacing w:after="0" w:line="360" w:lineRule="auto"/>
        <w:jc w:val="both"/>
      </w:pPr>
      <w:r>
        <w:t xml:space="preserve">b. Modelo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 xml:space="preserve">O cluster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 xml:space="preserve"> atual possui:</w:t>
      </w:r>
    </w:p>
    <w:p w:rsidR="00907D83" w:rsidRDefault="00964B8F">
      <w:pPr>
        <w:spacing w:after="0" w:line="360" w:lineRule="auto"/>
        <w:ind w:left="720" w:firstLine="720"/>
        <w:jc w:val="both"/>
        <w:rPr>
          <w:color w:val="FF0000"/>
        </w:rPr>
      </w:pPr>
      <w:r>
        <w:rPr>
          <w:color w:val="FF0000"/>
        </w:rPr>
        <w:t>3 nós do modelo NX-8155-G6;</w:t>
      </w:r>
    </w:p>
    <w:p w:rsidR="00907D83" w:rsidRDefault="00964B8F">
      <w:pPr>
        <w:spacing w:after="0" w:line="360" w:lineRule="auto"/>
        <w:ind w:left="720" w:firstLine="720"/>
        <w:jc w:val="both"/>
        <w:rPr>
          <w:color w:val="FF0000"/>
        </w:rPr>
      </w:pPr>
      <w:r>
        <w:rPr>
          <w:color w:val="FF0000"/>
        </w:rPr>
        <w:t>1 nó do modelo NX-1065-G6.</w:t>
      </w:r>
    </w:p>
    <w:p w:rsidR="00907D83" w:rsidRDefault="00907D83">
      <w:pPr>
        <w:spacing w:after="0" w:line="360" w:lineRule="auto"/>
        <w:ind w:left="720" w:firstLine="720"/>
        <w:jc w:val="both"/>
        <w:rPr>
          <w:color w:val="FF0000"/>
        </w:rPr>
      </w:pPr>
    </w:p>
    <w:p w:rsidR="00907D83" w:rsidRDefault="00964B8F">
      <w:pPr>
        <w:spacing w:after="0" w:line="360" w:lineRule="auto"/>
        <w:ind w:left="720"/>
        <w:jc w:val="both"/>
        <w:rPr>
          <w:color w:val="FF0000"/>
        </w:rPr>
      </w:pPr>
      <w:r>
        <w:rPr>
          <w:color w:val="FF0000"/>
        </w:rPr>
        <w:t>Os servidores legados Dell são:</w:t>
      </w:r>
    </w:p>
    <w:p w:rsidR="00907D83" w:rsidRDefault="00964B8F">
      <w:pPr>
        <w:spacing w:after="0" w:line="360" w:lineRule="auto"/>
        <w:ind w:left="720" w:firstLine="720"/>
        <w:jc w:val="both"/>
        <w:rPr>
          <w:color w:val="FF0000"/>
        </w:rPr>
      </w:pPr>
      <w:r>
        <w:rPr>
          <w:color w:val="FF0000"/>
        </w:rPr>
        <w:t>2 servidores R710;</w:t>
      </w:r>
    </w:p>
    <w:p w:rsidR="00907D83" w:rsidRDefault="00964B8F">
      <w:pPr>
        <w:spacing w:after="0" w:line="360" w:lineRule="auto"/>
        <w:ind w:left="720" w:firstLine="720"/>
        <w:jc w:val="both"/>
        <w:rPr>
          <w:color w:val="FF0000"/>
        </w:rPr>
      </w:pPr>
      <w:r>
        <w:rPr>
          <w:color w:val="FF0000"/>
        </w:rPr>
        <w:t>4 servidores R720.</w:t>
      </w:r>
    </w:p>
    <w:p w:rsidR="00907D83" w:rsidRDefault="00907D83">
      <w:pPr>
        <w:spacing w:after="0" w:line="360" w:lineRule="auto"/>
        <w:ind w:left="720" w:firstLine="720"/>
        <w:jc w:val="both"/>
        <w:rPr>
          <w:color w:val="FF0000"/>
        </w:rPr>
      </w:pPr>
    </w:p>
    <w:p w:rsidR="00907D83" w:rsidRDefault="00964B8F">
      <w:pPr>
        <w:spacing w:after="0" w:line="360" w:lineRule="auto"/>
        <w:jc w:val="both"/>
      </w:pPr>
      <w:r>
        <w:t xml:space="preserve">c. Ano de aquisição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tab/>
      </w:r>
      <w:r>
        <w:rPr>
          <w:color w:val="FF0000"/>
        </w:rPr>
        <w:t xml:space="preserve">O cluster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 xml:space="preserve"> foi adquirido em 2018.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>Já sobre os servidores legados Dell, a última renovação foi em 2013 para os modelos R710 e em 2016 para os modelos R720.</w:t>
      </w:r>
    </w:p>
    <w:p w:rsidR="00907D83" w:rsidRDefault="00964B8F">
      <w:pPr>
        <w:spacing w:after="0" w:line="360" w:lineRule="auto"/>
        <w:jc w:val="both"/>
      </w:pPr>
      <w:r>
        <w:t xml:space="preserve">d. Quantidade de processadores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tab/>
      </w:r>
      <w:r>
        <w:rPr>
          <w:color w:val="FF0000"/>
        </w:rPr>
        <w:t xml:space="preserve">No cluster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 xml:space="preserve"> são 8 processadores físicos (2 em cada nó).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>Cada um dos servidores Dell modelo R710 e R720 são 2 processadores físicos.</w:t>
      </w:r>
    </w:p>
    <w:p w:rsidR="00907D83" w:rsidRDefault="00907D83">
      <w:pPr>
        <w:spacing w:after="0" w:line="360" w:lineRule="auto"/>
        <w:jc w:val="both"/>
        <w:rPr>
          <w:color w:val="FF0000"/>
        </w:rPr>
      </w:pPr>
    </w:p>
    <w:p w:rsidR="00907D83" w:rsidRDefault="00964B8F">
      <w:pPr>
        <w:spacing w:after="0" w:line="360" w:lineRule="auto"/>
        <w:jc w:val="both"/>
      </w:pPr>
      <w:r>
        <w:t xml:space="preserve">e. Quantidade cores de cada processador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tab/>
      </w:r>
      <w:r>
        <w:rPr>
          <w:color w:val="FF0000"/>
        </w:rPr>
        <w:t xml:space="preserve">No cluster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>, cada processador possui 10 cores e 20 threads.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>Nos servidores Dell R710, cada processador possui 4 cores e 8 threads.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>Nos servidores Dell R720, cada processador possui 8 cores e 16 threads.</w:t>
      </w:r>
    </w:p>
    <w:p w:rsidR="00907D83" w:rsidRDefault="00907D83">
      <w:pPr>
        <w:spacing w:after="0" w:line="360" w:lineRule="auto"/>
        <w:jc w:val="both"/>
        <w:rPr>
          <w:color w:val="FF0000"/>
        </w:rPr>
      </w:pPr>
    </w:p>
    <w:p w:rsidR="00907D83" w:rsidRDefault="00964B8F">
      <w:pPr>
        <w:spacing w:after="0" w:line="360" w:lineRule="auto"/>
        <w:jc w:val="both"/>
      </w:pPr>
      <w:r>
        <w:t xml:space="preserve">f. Quantidade de memória RAM em GB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tab/>
      </w:r>
      <w:r>
        <w:rPr>
          <w:color w:val="FF0000"/>
        </w:rPr>
        <w:t xml:space="preserve">No cluster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>, 2 nós com 256 GB e</w:t>
      </w:r>
      <w:r>
        <w:rPr>
          <w:color w:val="FF0000"/>
        </w:rPr>
        <w:tab/>
        <w:t>2 nós com 384 GB;</w:t>
      </w:r>
    </w:p>
    <w:p w:rsidR="00907D83" w:rsidRDefault="00964B8F">
      <w:pPr>
        <w:spacing w:after="0" w:line="360" w:lineRule="auto"/>
        <w:ind w:firstLine="720"/>
        <w:jc w:val="both"/>
        <w:rPr>
          <w:color w:val="FF0000"/>
        </w:rPr>
      </w:pPr>
      <w:r>
        <w:rPr>
          <w:color w:val="FF0000"/>
        </w:rPr>
        <w:t>Nos servidores Dell R710, 32 GB em cada;</w:t>
      </w:r>
    </w:p>
    <w:p w:rsidR="00907D83" w:rsidRDefault="00964B8F">
      <w:pPr>
        <w:spacing w:after="0" w:line="360" w:lineRule="auto"/>
        <w:ind w:firstLine="720"/>
        <w:jc w:val="both"/>
        <w:rPr>
          <w:color w:val="FF0000"/>
        </w:rPr>
      </w:pPr>
      <w:r>
        <w:rPr>
          <w:color w:val="FF0000"/>
        </w:rPr>
        <w:t>Nos servidores Dell R720, 128GB em cada.</w:t>
      </w:r>
    </w:p>
    <w:p w:rsidR="00907D83" w:rsidRDefault="00964B8F">
      <w:pPr>
        <w:spacing w:after="0" w:line="360" w:lineRule="auto"/>
        <w:jc w:val="both"/>
      </w:pPr>
      <w:r>
        <w:t xml:space="preserve">g. Quantidade de máquinas virtuais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tab/>
      </w:r>
      <w:r>
        <w:rPr>
          <w:color w:val="FF0000"/>
        </w:rPr>
        <w:t xml:space="preserve">130 máquinas virtuais no ambiente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>;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>90 máquinas virtuais ainda a serem migradas dos servidores legados Dell.</w:t>
      </w:r>
    </w:p>
    <w:p w:rsidR="00907D83" w:rsidRDefault="00964B8F">
      <w:pPr>
        <w:spacing w:after="0" w:line="360" w:lineRule="auto"/>
        <w:jc w:val="both"/>
      </w:pPr>
      <w:r>
        <w:lastRenderedPageBreak/>
        <w:t xml:space="preserve">h. Fabricante da solução de </w:t>
      </w:r>
      <w:proofErr w:type="gramStart"/>
      <w:r>
        <w:t>virtualização Para</w:t>
      </w:r>
      <w:proofErr w:type="gramEnd"/>
      <w:r>
        <w:t xml:space="preserve"> cada </w:t>
      </w:r>
      <w:proofErr w:type="spellStart"/>
      <w:r>
        <w:t>Storage</w:t>
      </w:r>
      <w:proofErr w:type="spellEnd"/>
    </w:p>
    <w:p w:rsidR="00907D83" w:rsidRDefault="00964B8F">
      <w:pPr>
        <w:spacing w:after="0" w:line="360" w:lineRule="auto"/>
        <w:jc w:val="both"/>
      </w:pPr>
      <w:r>
        <w:t xml:space="preserve"> i. Fabricantes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tab/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 xml:space="preserve"> e Dell.</w:t>
      </w:r>
    </w:p>
    <w:p w:rsidR="00907D83" w:rsidRDefault="00964B8F">
      <w:pPr>
        <w:spacing w:after="0" w:line="360" w:lineRule="auto"/>
        <w:jc w:val="both"/>
      </w:pPr>
      <w:r>
        <w:t xml:space="preserve"> j. Modelo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tab/>
      </w:r>
      <w:r>
        <w:rPr>
          <w:color w:val="FF0000"/>
        </w:rPr>
        <w:t xml:space="preserve">No Cluster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 xml:space="preserve">, não se aplica o modelo, pois o </w:t>
      </w:r>
      <w:proofErr w:type="spellStart"/>
      <w:r>
        <w:rPr>
          <w:i/>
          <w:color w:val="FF0000"/>
        </w:rPr>
        <w:t>Storage</w:t>
      </w:r>
      <w:proofErr w:type="spellEnd"/>
      <w:r>
        <w:rPr>
          <w:i/>
          <w:color w:val="FF0000"/>
        </w:rPr>
        <w:t xml:space="preserve"> </w:t>
      </w:r>
      <w:r>
        <w:rPr>
          <w:color w:val="FF0000"/>
        </w:rPr>
        <w:t xml:space="preserve">atual faz parte da solução </w:t>
      </w:r>
      <w:proofErr w:type="spellStart"/>
      <w:r>
        <w:rPr>
          <w:color w:val="FF0000"/>
        </w:rPr>
        <w:t>hiperconvergente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>.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 xml:space="preserve">Para os servidores legados Dell, são utilizados </w:t>
      </w:r>
      <w:proofErr w:type="spellStart"/>
      <w:r>
        <w:rPr>
          <w:i/>
          <w:color w:val="FF0000"/>
        </w:rPr>
        <w:t>Storages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PowerVault</w:t>
      </w:r>
      <w:proofErr w:type="spellEnd"/>
      <w:r>
        <w:rPr>
          <w:color w:val="FF0000"/>
        </w:rPr>
        <w:t xml:space="preserve"> MD1000, MD3000, MD3200i e MD1200.</w:t>
      </w:r>
    </w:p>
    <w:p w:rsidR="00907D83" w:rsidRDefault="00964B8F">
      <w:pPr>
        <w:spacing w:after="0" w:line="360" w:lineRule="auto"/>
        <w:jc w:val="both"/>
      </w:pPr>
      <w:r>
        <w:t xml:space="preserve">k. Volumetria bruta total em TB 11. 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tab/>
      </w:r>
      <w:r>
        <w:rPr>
          <w:color w:val="FF0000"/>
        </w:rPr>
        <w:t xml:space="preserve">No cluster </w:t>
      </w:r>
      <w:proofErr w:type="spellStart"/>
      <w:r>
        <w:rPr>
          <w:color w:val="FF0000"/>
        </w:rPr>
        <w:t>Nutanix</w:t>
      </w:r>
      <w:proofErr w:type="spellEnd"/>
      <w:r>
        <w:rPr>
          <w:color w:val="FF0000"/>
        </w:rPr>
        <w:t xml:space="preserve"> a volumetria é:</w:t>
      </w:r>
    </w:p>
    <w:p w:rsidR="00907D83" w:rsidRDefault="00964B8F">
      <w:pPr>
        <w:spacing w:after="0" w:line="360" w:lineRule="auto"/>
        <w:ind w:left="720" w:firstLine="720"/>
        <w:jc w:val="both"/>
        <w:rPr>
          <w:color w:val="FF0000"/>
        </w:rPr>
      </w:pPr>
      <w:r>
        <w:rPr>
          <w:color w:val="FF0000"/>
        </w:rPr>
        <w:t xml:space="preserve">58.72 </w:t>
      </w:r>
      <w:proofErr w:type="spellStart"/>
      <w:r>
        <w:rPr>
          <w:color w:val="FF0000"/>
        </w:rPr>
        <w:t>TiB</w:t>
      </w:r>
      <w:proofErr w:type="spellEnd"/>
      <w:r>
        <w:rPr>
          <w:color w:val="FF0000"/>
        </w:rPr>
        <w:t xml:space="preserve"> de espaço total;</w:t>
      </w:r>
    </w:p>
    <w:p w:rsidR="00907D83" w:rsidRDefault="00964B8F">
      <w:pPr>
        <w:spacing w:after="0" w:line="360" w:lineRule="auto"/>
        <w:ind w:left="720" w:firstLine="720"/>
        <w:jc w:val="both"/>
        <w:rPr>
          <w:color w:val="FF0000"/>
        </w:rPr>
      </w:pPr>
      <w:r>
        <w:rPr>
          <w:color w:val="FF0000"/>
        </w:rPr>
        <w:t xml:space="preserve">25.25 </w:t>
      </w:r>
      <w:proofErr w:type="spellStart"/>
      <w:r>
        <w:rPr>
          <w:color w:val="FF0000"/>
        </w:rPr>
        <w:t>TiB</w:t>
      </w:r>
      <w:proofErr w:type="spellEnd"/>
      <w:r>
        <w:rPr>
          <w:color w:val="FF0000"/>
        </w:rPr>
        <w:t xml:space="preserve"> utilizados;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  <w:t xml:space="preserve">38.94 </w:t>
      </w:r>
      <w:proofErr w:type="spellStart"/>
      <w:r>
        <w:rPr>
          <w:color w:val="FF0000"/>
        </w:rPr>
        <w:t>TiB</w:t>
      </w:r>
      <w:proofErr w:type="spellEnd"/>
      <w:r>
        <w:rPr>
          <w:color w:val="FF0000"/>
        </w:rPr>
        <w:t xml:space="preserve"> é o limite para manter resiliência do cluster.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  <w:t xml:space="preserve">Nos </w:t>
      </w:r>
      <w:proofErr w:type="spellStart"/>
      <w:r>
        <w:rPr>
          <w:color w:val="FF0000"/>
        </w:rPr>
        <w:t>Storages</w:t>
      </w:r>
      <w:proofErr w:type="spellEnd"/>
      <w:r>
        <w:rPr>
          <w:color w:val="FF0000"/>
        </w:rPr>
        <w:t xml:space="preserve"> </w:t>
      </w:r>
      <w:proofErr w:type="gramStart"/>
      <w:r>
        <w:rPr>
          <w:color w:val="FF0000"/>
        </w:rPr>
        <w:t>Dell,  somam</w:t>
      </w:r>
      <w:proofErr w:type="gramEnd"/>
      <w:r>
        <w:rPr>
          <w:color w:val="FF0000"/>
        </w:rPr>
        <w:t xml:space="preserve"> cerca de 40 TB.</w:t>
      </w:r>
    </w:p>
    <w:p w:rsidR="00907D83" w:rsidRDefault="00964B8F">
      <w:pPr>
        <w:spacing w:after="0" w:line="360" w:lineRule="auto"/>
        <w:jc w:val="both"/>
        <w:rPr>
          <w:color w:val="FF0000"/>
        </w:rPr>
      </w:pPr>
      <w:r>
        <w:rPr>
          <w:color w:val="FF0000"/>
        </w:rPr>
        <w:tab/>
      </w:r>
    </w:p>
    <w:sectPr w:rsidR="00907D83">
      <w:headerReference w:type="defaul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811" w:rsidRDefault="00345811" w:rsidP="00F62953">
      <w:pPr>
        <w:spacing w:after="0" w:line="240" w:lineRule="auto"/>
      </w:pPr>
      <w:r>
        <w:separator/>
      </w:r>
    </w:p>
  </w:endnote>
  <w:endnote w:type="continuationSeparator" w:id="0">
    <w:p w:rsidR="00345811" w:rsidRDefault="00345811" w:rsidP="00F62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cofont_Spranq_eco_San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811" w:rsidRDefault="00345811" w:rsidP="00F62953">
      <w:pPr>
        <w:spacing w:after="0" w:line="240" w:lineRule="auto"/>
      </w:pPr>
      <w:r>
        <w:separator/>
      </w:r>
    </w:p>
  </w:footnote>
  <w:footnote w:type="continuationSeparator" w:id="0">
    <w:p w:rsidR="00345811" w:rsidRDefault="00345811" w:rsidP="00F62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953" w:rsidRDefault="00F62953" w:rsidP="00F62953">
    <w:pPr>
      <w:pStyle w:val="Cabealho"/>
      <w:jc w:val="center"/>
    </w:pPr>
    <w:r w:rsidRPr="00F62953">
      <w:rPr>
        <w:rFonts w:ascii="Ecofont_Spranq_eco_Sans" w:eastAsia="Ecofont_Spranq_eco_Sans" w:hAnsi="Ecofont_Spranq_eco_Sans" w:cs="Ecofont_Spranq_eco_Sans"/>
        <w:noProof/>
        <w:color w:val="000000"/>
        <w:sz w:val="24"/>
        <w:szCs w:val="24"/>
      </w:rPr>
      <w:drawing>
        <wp:inline distT="0" distB="0" distL="0" distR="0" wp14:anchorId="4E93705A" wp14:editId="094A1440">
          <wp:extent cx="3709125" cy="832888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FE9"/>
    <w:multiLevelType w:val="multilevel"/>
    <w:tmpl w:val="23C238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6C4135"/>
    <w:multiLevelType w:val="multilevel"/>
    <w:tmpl w:val="B45226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D5C3B75"/>
    <w:multiLevelType w:val="multilevel"/>
    <w:tmpl w:val="6B4A6E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D83"/>
    <w:rsid w:val="00345811"/>
    <w:rsid w:val="00606B9F"/>
    <w:rsid w:val="00722603"/>
    <w:rsid w:val="00907D83"/>
    <w:rsid w:val="00964B8F"/>
    <w:rsid w:val="00F6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14A92-9EFA-461D-8A90-6129A6A8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34"/>
    <w:qFormat/>
    <w:rsid w:val="00D37BCC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F629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62953"/>
  </w:style>
  <w:style w:type="paragraph" w:styleId="Rodap">
    <w:name w:val="footer"/>
    <w:basedOn w:val="Normal"/>
    <w:link w:val="RodapChar"/>
    <w:uiPriority w:val="99"/>
    <w:unhideWhenUsed/>
    <w:rsid w:val="00F629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62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fcspa.edu.br/acesso-a-informacao/licitacoes-e-contratos/acesso-aos-processos-finalizados/processos-de-202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ufcspa.edu.br/acesso-a-informacao/licitacoes-e-contratos/acesso-aos-processos-finalizados/processos-de-202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wi2nuoGrYF7/I9WD4TJC3aY4pQ==">AMUW2mX5lDq5cAuO0ySdJL97FK587ZMzRITZ53BhCeXDJ8COa9cAudluDsx9TOmvoGYTvB0i70bCY/1Do2oeKnt/cN+kFbgnNoz+HpWQxmnXrktc6eci1+wHxtwBytE4JYvEux97iO8i2mgwPANcRjUECBBdRFAiBJvKoHrU8HLjZQ8U0XSXnAvGgPsfGU15BgW/c9DlLYYA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1220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Roberto Rosa</cp:lastModifiedBy>
  <cp:revision>4</cp:revision>
  <dcterms:created xsi:type="dcterms:W3CDTF">2021-11-11T16:46:00Z</dcterms:created>
  <dcterms:modified xsi:type="dcterms:W3CDTF">2021-11-12T15:58:00Z</dcterms:modified>
</cp:coreProperties>
</file>